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before="0" w:lineRule="auto"/>
        <w:rPr>
          <w:rFonts w:ascii="Helvetica Neue" w:cs="Helvetica Neue" w:eastAsia="Helvetica Neue" w:hAnsi="Helvetica Neue"/>
          <w:color w:val="08aeb4"/>
          <w:sz w:val="36"/>
          <w:szCs w:val="36"/>
        </w:rPr>
      </w:pPr>
      <w:r w:rsidDel="00000000" w:rsidR="00000000" w:rsidRPr="00000000">
        <w:rPr>
          <w:rFonts w:ascii="Helvetica Neue" w:cs="Helvetica Neue" w:eastAsia="Helvetica Neue" w:hAnsi="Helvetica Neue"/>
          <w:color w:val="08aeb4"/>
          <w:sz w:val="36"/>
          <w:szCs w:val="36"/>
          <w:rtl w:val="0"/>
        </w:rPr>
        <w:t xml:space="preserve">Talk Circles: Introducing Oracy</w:t>
      </w:r>
    </w:p>
    <w:p w:rsidR="00000000" w:rsidDel="00000000" w:rsidP="00000000" w:rsidRDefault="00000000" w:rsidRPr="00000000" w14:paraId="00000002">
      <w:pPr>
        <w:pStyle w:val="Subtitle"/>
        <w:rPr>
          <w:rFonts w:ascii="Helvetica Neue" w:cs="Helvetica Neue" w:eastAsia="Helvetica Neue" w:hAnsi="Helvetica Neue"/>
          <w:b w:val="1"/>
          <w:i w:val="0"/>
          <w:color w:val="08aeb4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color w:val="08aeb4"/>
          <w:sz w:val="24"/>
          <w:szCs w:val="24"/>
          <w:rtl w:val="0"/>
        </w:rPr>
        <w:t xml:space="preserve">Session Handout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spacing w:before="0" w:lineRule="auto"/>
        <w:rPr>
          <w:rFonts w:ascii="Helvetica Neue" w:cs="Helvetica Neue" w:eastAsia="Helvetica Neue" w:hAnsi="Helvetica Neue"/>
          <w:b w:val="0"/>
          <w:color w:val="434343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Helvetica Neue" w:cs="Helvetica Neue" w:eastAsia="Helvetica Neue" w:hAnsi="Helvetica Neue"/>
          <w:color w:val="434343"/>
          <w:sz w:val="22"/>
          <w:szCs w:val="22"/>
          <w:rtl w:val="0"/>
        </w:rPr>
        <w:t xml:space="preserve">How do students learn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434343"/>
          <w:sz w:val="22"/>
          <w:szCs w:val="22"/>
          <w:rtl w:val="0"/>
        </w:rPr>
        <w:t xml:space="preserve">to </w:t>
      </w:r>
      <w:r w:rsidDel="00000000" w:rsidR="00000000" w:rsidRPr="00000000">
        <w:rPr>
          <w:rFonts w:ascii="Helvetica Neue" w:cs="Helvetica Neue" w:eastAsia="Helvetica Neue" w:hAnsi="Helvetica Neue"/>
          <w:color w:val="434343"/>
          <w:sz w:val="22"/>
          <w:szCs w:val="22"/>
          <w:rtl w:val="0"/>
        </w:rPr>
        <w:t xml:space="preserve">and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434343"/>
          <w:sz w:val="22"/>
          <w:szCs w:val="22"/>
          <w:rtl w:val="0"/>
        </w:rPr>
        <w:t xml:space="preserve">through </w:t>
      </w:r>
      <w:r w:rsidDel="00000000" w:rsidR="00000000" w:rsidRPr="00000000">
        <w:rPr>
          <w:rFonts w:ascii="Helvetica Neue" w:cs="Helvetica Neue" w:eastAsia="Helvetica Neue" w:hAnsi="Helvetica Neue"/>
          <w:color w:val="434343"/>
          <w:sz w:val="22"/>
          <w:szCs w:val="22"/>
          <w:rtl w:val="0"/>
        </w:rPr>
        <w:t xml:space="preserve">talk in the video clip?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b w:val="1"/>
          <w:color w:val="3b3838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95"/>
        <w:gridCol w:w="7695"/>
        <w:tblGridChange w:id="0">
          <w:tblGrid>
            <w:gridCol w:w="7695"/>
            <w:gridCol w:w="7695"/>
          </w:tblGrid>
        </w:tblGridChange>
      </w:tblGrid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pStyle w:val="Subtitle"/>
              <w:spacing w:before="0" w:lineRule="auto"/>
              <w:jc w:val="center"/>
              <w:rPr>
                <w:rFonts w:ascii="Helvetica Neue" w:cs="Helvetica Neue" w:eastAsia="Helvetica Neue" w:hAnsi="Helvetica Neue"/>
                <w:b w:val="1"/>
                <w:color w:val="08aeb4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8aeb4"/>
                <w:sz w:val="24"/>
                <w:szCs w:val="24"/>
                <w:rtl w:val="0"/>
              </w:rPr>
              <w:t xml:space="preserve">To</w:t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Subtitle"/>
              <w:spacing w:before="0" w:lineRule="auto"/>
              <w:jc w:val="center"/>
              <w:rPr>
                <w:rFonts w:ascii="Helvetica Neue" w:cs="Helvetica Neue" w:eastAsia="Helvetica Neue" w:hAnsi="Helvetica Neue"/>
                <w:b w:val="1"/>
                <w:color w:val="08aeb4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8aeb4"/>
                <w:sz w:val="24"/>
                <w:szCs w:val="24"/>
                <w:rtl w:val="0"/>
              </w:rPr>
              <w:t xml:space="preserve">Through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pStyle w:val="Heading2"/>
              <w:rPr>
                <w:rFonts w:ascii="Helvetica Neue" w:cs="Helvetica Neue" w:eastAsia="Helvetica Neue" w:hAnsi="Helvetica Neue"/>
                <w:b w:val="0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rFonts w:ascii="Helvetica Neue" w:cs="Helvetica Neue" w:eastAsia="Helvetica Neue" w:hAnsi="Helvetica Neue"/>
          <w:b w:val="1"/>
          <w:color w:val="3b3838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  <w:b w:val="1"/>
          <w:color w:val="3b3838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Helvetica Neue" w:cs="Helvetica Neue" w:eastAsia="Helvetica Neue" w:hAnsi="Helvetica Neue"/>
          <w:b w:val="1"/>
          <w:color w:val="3b3838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Helvetica Neue" w:cs="Helvetica Neue" w:eastAsia="Helvetica Neue" w:hAnsi="Helvetica Neue"/>
          <w:b w:val="1"/>
          <w:color w:val="3b3838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b3838"/>
          <w:sz w:val="22"/>
          <w:szCs w:val="22"/>
          <w:rtl w:val="0"/>
        </w:rPr>
        <w:t xml:space="preserve">Talk continuum: exploratory or presentational talk?</w:t>
      </w:r>
    </w:p>
    <w:p w:rsidR="00000000" w:rsidDel="00000000" w:rsidP="00000000" w:rsidRDefault="00000000" w:rsidRPr="00000000" w14:paraId="00000022">
      <w:pPr>
        <w:rPr>
          <w:rFonts w:ascii="Helvetica Neue" w:cs="Helvetica Neue" w:eastAsia="Helvetica Neue" w:hAnsi="Helvetica Neue"/>
          <w:b w:val="1"/>
          <w:color w:val="3b3838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Helvetica Neue" w:cs="Helvetica Neue" w:eastAsia="Helvetica Neue" w:hAnsi="Helvetica Neue"/>
          <w:b w:val="1"/>
          <w:color w:val="3b3838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Helvetica Neue" w:cs="Helvetica Neue" w:eastAsia="Helvetica Neue" w:hAnsi="Helvetica Neue"/>
          <w:b w:val="1"/>
          <w:color w:val="3b3838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  <w:b w:val="1"/>
          <w:color w:val="3b3838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Helvetica Neue" w:cs="Helvetica Neue" w:eastAsia="Helvetica Neue" w:hAnsi="Helvetica Neue"/>
          <w:b w:val="1"/>
          <w:color w:val="3b3838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b3838"/>
          <w:sz w:val="22"/>
          <w:szCs w:val="22"/>
        </w:rPr>
        <w:drawing>
          <wp:inline distB="0" distT="0" distL="0" distR="0">
            <wp:extent cx="9825844" cy="3712633"/>
            <wp:effectExtent b="0" l="0" r="0" t="0"/>
            <wp:docPr descr="Shape&#10;&#10;Description automatically generated with low confidence" id="5" name="image1.png"/>
            <a:graphic>
              <a:graphicData uri="http://schemas.openxmlformats.org/drawingml/2006/picture">
                <pic:pic>
                  <pic:nvPicPr>
                    <pic:cNvPr descr="Shape&#10;&#10;Description automatically generated with low confidenc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25844" cy="37126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1900" w:w="16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Helvetica Neue" w:cs="Helvetica Neue" w:eastAsia="Helvetica Neue" w:hAnsi="Helvetica Neue"/>
        <w:color w:val="434343"/>
        <w:sz w:val="18"/>
        <w:szCs w:val="18"/>
      </w:rPr>
    </w:pPr>
    <w:r w:rsidDel="00000000" w:rsidR="00000000" w:rsidRPr="00000000">
      <w:rPr>
        <w:rFonts w:ascii="Helvetica Neue" w:cs="Helvetica Neue" w:eastAsia="Helvetica Neue" w:hAnsi="Helvetica Neue"/>
        <w:color w:val="434343"/>
        <w:sz w:val="18"/>
        <w:szCs w:val="18"/>
        <w:rtl w:val="0"/>
      </w:rPr>
      <w:t xml:space="preserve"> Voice 21 is a registered charity in England and Wales, registration number 1152672. Voice 21 Ltd, company no. 08165798</w:t>
    </w:r>
  </w:p>
  <w:p w:rsidR="00000000" w:rsidDel="00000000" w:rsidP="00000000" w:rsidRDefault="00000000" w:rsidRPr="00000000" w14:paraId="0000002E">
    <w:pPr>
      <w:tabs>
        <w:tab w:val="center" w:pos="4513"/>
        <w:tab w:val="right" w:pos="9026"/>
      </w:tabs>
      <w:rPr>
        <w:rFonts w:ascii="Helvetica Neue" w:cs="Helvetica Neue" w:eastAsia="Helvetica Neue" w:hAnsi="Helvetica Neue"/>
        <w:color w:val="3b3838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8850630</wp:posOffset>
          </wp:positionH>
          <wp:positionV relativeFrom="paragraph">
            <wp:posOffset>-226058</wp:posOffset>
          </wp:positionV>
          <wp:extent cx="1223963" cy="1223963"/>
          <wp:effectExtent b="0" l="0" r="0" t="0"/>
          <wp:wrapSquare wrapText="bothSides" distB="0" distT="0" distL="114300" distR="11430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3963" cy="12239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D243D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9A3C31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491B0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91B08"/>
  </w:style>
  <w:style w:type="paragraph" w:styleId="Footer">
    <w:name w:val="footer"/>
    <w:basedOn w:val="Normal"/>
    <w:link w:val="FooterChar"/>
    <w:uiPriority w:val="99"/>
    <w:unhideWhenUsed w:val="1"/>
    <w:rsid w:val="00491B0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91B08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6ZfdnpUaa8S+mi7fNq4MSAtb9Q==">AMUW2mWAJ345oAZ2erl8Y5whJ4OxmckjqtHe/xgIBTwd9bJSeTNwEXOcbS3Ep36g2rIdMiFxPikgQFUkM+R7ZfhqGERqvHHtRwCkdILTwGEHybreQ6AHsbEdh+6qQP2yLQx7ZF1q3uZy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2022-09-03T13:28:00Z</dcterms:created>
  <dc:creator>Amy Gaunt</dc:creator>
</cp:coreProperties>
</file>